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190625" cy="1190625"/>
            <wp:effectExtent b="0" l="0" r="0" t="0"/>
            <wp:wrapSquare wrapText="bothSides" distB="0" distT="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KETCHUM FIRE DEPARTMENT 2022 Final Report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All Terrain Rescue Vehicle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Grant amount: $20,000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Grant Program in Review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The Ketchum Fire Department was fortunate to receive a generous grant of $20,000 toward the purchase of an all terrain rescue vehicle. This vehicle has already served the community well on rescue calls, training and response to fires.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The first rescue the vehicle was used on was an injured mountain biker in the Adams Gulch area. The biker had gone over the handlebars and had a suspected broken neck. Rescue 2 (the new vehicle) forded the creek and drove out the old forest track to the bike trail, then up to the injured person. He rode out fairly comfortably in a litter attached to the vehicle. He was at the hospital in a fraction of the time it would have taken to carry him out by hand. 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The Rescue is now outfitted with a litter, tools, winter tracks and summer tires and a custom cover designed to keep injured persons protected and out of the elements. 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Objectives &amp; Outcomes 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Rescue 2 was put in service late in the summer. It still was used on 4 biker injuries. For the winter it was equipped with tracks and was used on 6 avalanche rescue drills. Fortunately, there were no avalanche entrapments this winter. It is now geared up for summer use again. </w: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Photos 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146422" cy="386045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6422" cy="3860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159684" cy="387040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9684" cy="38704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b w:val="1"/>
          <w:rtl w:val="0"/>
        </w:rPr>
        <w:t xml:space="preserve">Budget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 addition to the funds donated by WRWCF, $4,000 was donated by the Ketchum-Sun Valley Firefighter’s Association. The City of Ketchum provided the remainder of the funds. 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52"/>
        <w:gridCol w:w="2952"/>
        <w:gridCol w:w="2952"/>
        <w:tblGridChange w:id="0">
          <w:tblGrid>
            <w:gridCol w:w="2952"/>
            <w:gridCol w:w="2952"/>
            <w:gridCol w:w="295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Expenses</w:t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Amount requested from WRWF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Actual Expenditures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Salary and Benefits</w:t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Training &amp; Professional Development </w:t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Travel</w:t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Equipment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20,000</w:t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46,000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Printing, Copying &amp; Postage</w:t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20,000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46,000</w:t>
            </w:r>
          </w:p>
        </w:tc>
      </w:tr>
    </w:tbl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sectPr>
      <w:footerReference r:id="rId9" w:type="default"/>
      <w:footerReference r:id="rId10" w:type="even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tabs>
        <w:tab w:val="center" w:leader="none" w:pos="4320"/>
        <w:tab w:val="right" w:leader="none" w:pos="8640"/>
      </w:tabs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tabs>
        <w:tab w:val="center" w:leader="none" w:pos="4320"/>
        <w:tab w:val="right" w:leader="none" w:pos="8640"/>
      </w:tabs>
      <w:ind w:right="36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tabs>
        <w:tab w:val="center" w:leader="none" w:pos="4320"/>
        <w:tab w:val="right" w:leader="none" w:pos="8640"/>
      </w:tabs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tabs>
        <w:tab w:val="center" w:leader="none" w:pos="4320"/>
        <w:tab w:val="right" w:leader="none" w:pos="8640"/>
      </w:tabs>
      <w:ind w:right="36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